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3802" w:rsidP="00C36DBC">
      <w:pPr>
        <w:pStyle w:val="2"/>
        <w:rPr>
          <w:rFonts w:eastAsia="Times New Roman"/>
        </w:rPr>
      </w:pPr>
      <w:r>
        <w:rPr>
          <w:rFonts w:eastAsia="Times New Roman"/>
        </w:rPr>
        <w:t>Приказ Минздрава России от 26 апреля 2013 г. № 265н</w:t>
      </w:r>
    </w:p>
    <w:p w:rsidR="00000000" w:rsidRDefault="00C63802" w:rsidP="00C36DBC">
      <w:pPr>
        <w:pStyle w:val="1"/>
        <w:rPr>
          <w:rFonts w:eastAsia="Times New Roman"/>
        </w:rPr>
      </w:pPr>
      <w:r>
        <w:rPr>
          <w:rFonts w:eastAsia="Times New Roman"/>
        </w:rPr>
        <w:t xml:space="preserve">О случаях возможности замены бесплатного питания донора крови и (или) ее компонентов денежной компенсацией и порядке установления ее размера </w:t>
      </w:r>
    </w:p>
    <w:p w:rsidR="00000000" w:rsidRDefault="00C63802" w:rsidP="00C36DBC">
      <w:pPr>
        <w:pStyle w:val="a3"/>
        <w:divId w:val="407458866"/>
      </w:pPr>
      <w:r>
        <w:t xml:space="preserve">В соответствии с пунктом 6 части 2 статьи 9 Федерального закона от 20 июля 2012 г. № 125-ФЗ «О донорстве крови и ее компонентов» (Собрание  законодательства  Российской  Федерации, 2012, № 30, ст. 4176)  приказываю: </w:t>
      </w:r>
    </w:p>
    <w:p w:rsidR="00000000" w:rsidRDefault="00C63802" w:rsidP="00C36DBC">
      <w:pPr>
        <w:pStyle w:val="a3"/>
        <w:divId w:val="407458866"/>
      </w:pPr>
      <w:r>
        <w:t>1. Установить, что замена бесплатного п</w:t>
      </w:r>
      <w:r>
        <w:t>итания донора крови и (или) ее компонентов (по установленному пищевому рациону донора крови и (или) ее компонентов) денежной компенсацией возможна в случае донации крови и (или) ее компонентов с использованием мобильных комплексов заготовки крови, в случае</w:t>
      </w:r>
      <w:r>
        <w:t xml:space="preserve"> донации крови и (или) ее компонентов в помещениях, предоставленных в соответствии с пунктом 3 статьи 26 Федерального закона от 20 июля 2012 г. № 125-ФЗ «О донорстве крови и ее компонентов», а также в случае подачи донором письменного заявления о замене бе</w:t>
      </w:r>
      <w:r>
        <w:t>сплатного питания денежной компенсацией.</w:t>
      </w:r>
    </w:p>
    <w:p w:rsidR="00000000" w:rsidRDefault="00C63802" w:rsidP="00C36DBC">
      <w:pPr>
        <w:pStyle w:val="a3"/>
        <w:divId w:val="407458866"/>
      </w:pPr>
      <w:r>
        <w:t>2. Установить, что размер денежной компенсации в случаях, указанных в пункте 1 настоящего Приказа, составляет 5 % от действующей на дату сдачи крови и (или) ее компонентов величины прожиточного минимума трудоспособн</w:t>
      </w:r>
      <w:r>
        <w:t>ого населения, установленной в субъекте Российской Федерации, на территории которого совершена донация крови и (или) ее компонентов.</w:t>
      </w:r>
    </w:p>
    <w:p w:rsidR="00C63802" w:rsidRDefault="00C63802" w:rsidP="00C36DBC">
      <w:pPr>
        <w:pStyle w:val="5"/>
        <w:ind w:left="0"/>
        <w:divId w:val="407458866"/>
        <w:rPr>
          <w:rFonts w:eastAsia="Times New Roman"/>
        </w:rPr>
      </w:pPr>
      <w:r>
        <w:rPr>
          <w:rFonts w:eastAsia="Times New Roman"/>
        </w:rPr>
        <w:t xml:space="preserve">Министр </w:t>
      </w:r>
      <w:r>
        <w:rPr>
          <w:rFonts w:eastAsia="Times New Roman"/>
        </w:rPr>
        <w:br/>
        <w:t xml:space="preserve">В.И. Скворцова </w:t>
      </w:r>
      <w:bookmarkStart w:id="0" w:name="_GoBack"/>
      <w:bookmarkEnd w:id="0"/>
    </w:p>
    <w:sectPr w:rsidR="00C6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</w:compat>
  <w:rsids>
    <w:rsidRoot w:val="00C36DBC"/>
    <w:rsid w:val="00C36DBC"/>
    <w:rsid w:val="00C63802"/>
    <w:rsid w:val="00D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eastAsiaTheme="minorEastAsia"/>
      <w:bCs/>
      <w:sz w:val="22"/>
      <w:szCs w:val="36"/>
    </w:rPr>
  </w:style>
  <w:style w:type="paragraph" w:styleId="3">
    <w:name w:val="heading 3"/>
    <w:basedOn w:val="a"/>
    <w:link w:val="30"/>
    <w:qFormat/>
    <w:pPr>
      <w:spacing w:before="360" w:after="240"/>
      <w:outlineLvl w:val="2"/>
    </w:pPr>
    <w:rPr>
      <w:rFonts w:eastAsiaTheme="minorEastAsia"/>
      <w:sz w:val="28"/>
      <w:szCs w:val="28"/>
    </w:rPr>
  </w:style>
  <w:style w:type="paragraph" w:styleId="4">
    <w:name w:val="heading 4"/>
    <w:basedOn w:val="a"/>
    <w:link w:val="40"/>
    <w:qFormat/>
    <w:pPr>
      <w:spacing w:before="360" w:after="240"/>
      <w:outlineLvl w:val="3"/>
    </w:pPr>
    <w:rPr>
      <w:rFonts w:eastAsiaTheme="minorEastAsia"/>
      <w:b/>
      <w:bCs/>
    </w:rPr>
  </w:style>
  <w:style w:type="paragraph" w:styleId="5">
    <w:name w:val="heading 5"/>
    <w:basedOn w:val="a"/>
    <w:link w:val="50"/>
    <w:qFormat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paragraph" w:styleId="6">
    <w:name w:val="heading 6"/>
    <w:basedOn w:val="a"/>
    <w:link w:val="60"/>
    <w:autoRedefine/>
    <w:qFormat/>
    <w:pPr>
      <w:spacing w:before="100" w:beforeAutospacing="1" w:after="100" w:afterAutospacing="1"/>
      <w:outlineLvl w:val="5"/>
    </w:pPr>
    <w:rPr>
      <w:rFonts w:ascii="Arial" w:eastAsiaTheme="minorEastAsia" w:hAnsi="Arial"/>
      <w:bCs/>
      <w:color w:val="777777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Pr>
      <w:bCs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shorttitle">
    <w:name w:val="shorttitle"/>
    <w:basedOn w:val="a"/>
    <w:pPr>
      <w:spacing w:after="30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eastAsiaTheme="minorEastAsia"/>
      <w:bCs/>
      <w:sz w:val="22"/>
      <w:szCs w:val="36"/>
    </w:rPr>
  </w:style>
  <w:style w:type="paragraph" w:styleId="3">
    <w:name w:val="heading 3"/>
    <w:basedOn w:val="a"/>
    <w:link w:val="30"/>
    <w:qFormat/>
    <w:pPr>
      <w:spacing w:before="360" w:after="240"/>
      <w:outlineLvl w:val="2"/>
    </w:pPr>
    <w:rPr>
      <w:rFonts w:eastAsiaTheme="minorEastAsia"/>
      <w:sz w:val="28"/>
      <w:szCs w:val="28"/>
    </w:rPr>
  </w:style>
  <w:style w:type="paragraph" w:styleId="4">
    <w:name w:val="heading 4"/>
    <w:basedOn w:val="a"/>
    <w:link w:val="40"/>
    <w:qFormat/>
    <w:pPr>
      <w:spacing w:before="360" w:after="240"/>
      <w:outlineLvl w:val="3"/>
    </w:pPr>
    <w:rPr>
      <w:rFonts w:eastAsiaTheme="minorEastAsia"/>
      <w:b/>
      <w:bCs/>
    </w:rPr>
  </w:style>
  <w:style w:type="paragraph" w:styleId="5">
    <w:name w:val="heading 5"/>
    <w:basedOn w:val="a"/>
    <w:link w:val="50"/>
    <w:qFormat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paragraph" w:styleId="6">
    <w:name w:val="heading 6"/>
    <w:basedOn w:val="a"/>
    <w:link w:val="60"/>
    <w:autoRedefine/>
    <w:qFormat/>
    <w:pPr>
      <w:spacing w:before="100" w:beforeAutospacing="1" w:after="100" w:afterAutospacing="1"/>
      <w:outlineLvl w:val="5"/>
    </w:pPr>
    <w:rPr>
      <w:rFonts w:ascii="Arial" w:eastAsiaTheme="minorEastAsia" w:hAnsi="Arial"/>
      <w:bCs/>
      <w:color w:val="777777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Pr>
      <w:bCs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shorttitle">
    <w:name w:val="shorttitle"/>
    <w:basedOn w:val="a"/>
    <w:pPr>
      <w:spacing w:after="30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5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26 апреля 2013 г. № 265н</vt:lpstr>
    </vt:vector>
  </TitlesOfParts>
  <Company>CtrlSoft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26 апреля 2013 г. № 265н</dc:title>
  <dc:creator>Минздравсоцразвития</dc:creator>
  <cp:lastModifiedBy>Filatova</cp:lastModifiedBy>
  <cp:revision>2</cp:revision>
  <dcterms:created xsi:type="dcterms:W3CDTF">2013-05-13T05:28:00Z</dcterms:created>
  <dcterms:modified xsi:type="dcterms:W3CDTF">2013-05-13T05:28:00Z</dcterms:modified>
</cp:coreProperties>
</file>